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8D09C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D09C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8D09CB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D09CB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774614">
            <w:rPr>
              <w:rFonts w:ascii="Arial" w:hAnsi="Arial" w:cs="Arial"/>
              <w:i w:val="0"/>
              <w:lang w:val="ro-RO"/>
            </w:rPr>
            <w:t>64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6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74614">
            <w:rPr>
              <w:rFonts w:ascii="Arial" w:hAnsi="Arial" w:cs="Arial"/>
              <w:i w:val="0"/>
              <w:lang w:val="ro-RO"/>
            </w:rPr>
            <w:t>09.06.2016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4963D3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8D09C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D09C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AC0360" w:rsidRDefault="008D09C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D09C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77461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Primaria Balta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774614">
            <w:rPr>
              <w:rFonts w:ascii="Arial" w:hAnsi="Arial" w:cs="Arial"/>
              <w:sz w:val="24"/>
              <w:szCs w:val="24"/>
              <w:lang w:val="ro-RO"/>
            </w:rPr>
            <w:t>Str. Balta, Nr. fn, Balta,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774614">
            <w:rPr>
              <w:rFonts w:ascii="Arial" w:hAnsi="Arial" w:cs="Arial"/>
              <w:sz w:val="24"/>
              <w:szCs w:val="24"/>
              <w:lang w:val="ro-RO"/>
            </w:rPr>
            <w:t xml:space="preserve">prin Busuioc Ion,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774614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774614">
            <w:rPr>
              <w:rFonts w:ascii="Arial" w:hAnsi="Arial" w:cs="Arial"/>
              <w:sz w:val="24"/>
              <w:szCs w:val="24"/>
              <w:lang w:val="ro-RO"/>
            </w:rPr>
            <w:t>6858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07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74614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06.07.2015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8D09CB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8D09CB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8D09CB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8D09C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817CE2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817CE2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</w:t>
          </w:r>
          <w:r w:rsidR="00817CE2">
            <w:rPr>
              <w:rFonts w:ascii="Arial" w:hAnsi="Arial" w:cs="Arial"/>
              <w:sz w:val="24"/>
              <w:szCs w:val="24"/>
              <w:lang w:val="ro-RO"/>
            </w:rPr>
            <w:t>de Analiză Tehnică din data de 02.06.2016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817CE2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817CE2" w:rsidRPr="00817CE2">
            <w:rPr>
              <w:rFonts w:ascii="Arial" w:hAnsi="Arial" w:cs="Arial"/>
              <w:b/>
              <w:sz w:val="24"/>
              <w:szCs w:val="24"/>
              <w:lang w:val="ro-RO"/>
            </w:rPr>
            <w:t>Investiţii pentru modernizarea infrastructurii agricole în comuna Balta, judeţul Mehedinţi</w:t>
          </w:r>
          <w:r w:rsidR="00817CE2">
            <w:rPr>
              <w:rFonts w:ascii="Arial" w:hAnsi="Arial" w:cs="Arial"/>
              <w:sz w:val="24"/>
              <w:szCs w:val="24"/>
              <w:lang w:val="ro-RO"/>
            </w:rPr>
            <w:t>”, propus a fi amplasat în intravilanul şi extravilanul comunei Balta,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17CE2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17CE2">
            <w:rPr>
              <w:rFonts w:ascii="Arial" w:hAnsi="Arial" w:cs="Arial"/>
              <w:b/>
              <w:sz w:val="24"/>
              <w:szCs w:val="24"/>
              <w:lang w:val="ro-RO"/>
            </w:rPr>
            <w:t>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D09C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8D09C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192364">
            <w:rPr>
              <w:rFonts w:ascii="Arial" w:hAnsi="Arial" w:cs="Arial"/>
              <w:sz w:val="24"/>
              <w:szCs w:val="24"/>
            </w:rPr>
            <w:t xml:space="preserve">      </w:t>
          </w:r>
          <w:r w:rsidRPr="00A52708">
            <w:rPr>
              <w:rFonts w:ascii="Arial" w:hAnsi="Arial" w:cs="Arial"/>
              <w:b/>
              <w:sz w:val="24"/>
              <w:szCs w:val="24"/>
            </w:rPr>
            <w:t>I.</w:t>
          </w:r>
          <w:r w:rsidRPr="00864FDE">
            <w:rPr>
              <w:rFonts w:ascii="Arial" w:hAnsi="Arial" w:cs="Arial"/>
              <w:b/>
              <w:sz w:val="24"/>
              <w:szCs w:val="24"/>
            </w:rPr>
            <w:t xml:space="preserve"> Motivele care au stat la baza luării deciziei etapei de încadrare în procedura de evaluare a impactului asup</w:t>
          </w:r>
          <w:r w:rsidRPr="00864FDE">
            <w:rPr>
              <w:rFonts w:ascii="Arial" w:hAnsi="Arial" w:cs="Arial"/>
              <w:b/>
              <w:sz w:val="24"/>
              <w:szCs w:val="24"/>
            </w:rPr>
            <w:t>ra mediului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53675" w:rsidRDefault="008D09C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192364"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864FDE" w:rsidRPr="00864FD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864FDE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2, punctul </w:t>
          </w:r>
          <w:r w:rsidR="00864FDE"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13, lit. a) </w:t>
          </w:r>
          <w:r w:rsidR="00864FDE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r w:rsidR="00864FDE"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    </w:r>
          <w:r w:rsidR="00864FDE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864FDE" w:rsidRPr="00F758DF" w:rsidRDefault="00192364" w:rsidP="00192364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  <w:r w:rsidR="00864FDE" w:rsidRPr="00F758DF">
            <w:rPr>
              <w:rFonts w:ascii="Arial" w:hAnsi="Arial" w:cs="Arial"/>
              <w:sz w:val="24"/>
              <w:szCs w:val="24"/>
            </w:rPr>
            <w:t xml:space="preserve">b) </w:t>
          </w:r>
          <w:r w:rsidR="00864FDE"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864FDE" w:rsidRDefault="00864FDE" w:rsidP="00864FDE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-lucrările se desfăşoară pe </w:t>
          </w:r>
          <w:r w:rsidR="00CE3D24">
            <w:rPr>
              <w:rFonts w:ascii="Arial" w:hAnsi="Arial" w:cs="Arial"/>
              <w:color w:val="000000"/>
              <w:sz w:val="24"/>
              <w:szCs w:val="24"/>
              <w:lang w:val="ro-RO"/>
            </w:rPr>
            <w:t>teritoriul comunei Balta, satele Balta şi Costeşti; terenul este situat în intravilanul şi extravilanul comunei Balta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 w:rsidR="00CE3D2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aparţine domeniului public de interes local, cu folosinţa conform PUG, drumuri de exploataţie agricolă;</w:t>
          </w:r>
        </w:p>
        <w:p w:rsidR="00864FDE" w:rsidRPr="00F758DF" w:rsidRDefault="00CE3D24" w:rsidP="00864FDE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="00864FDE"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lungime</w:t>
          </w:r>
          <w:r w:rsidR="00B750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totală a drumurilor ce se modernizează este de 13,071 km; suprafaţa totală a platformei drumurilor ce se modernizează este de 54.044 mp</w:t>
          </w:r>
          <w:r w:rsidR="00461029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864FDE" w:rsidRPr="00F758DF" w:rsidRDefault="00864FDE" w:rsidP="00864FDE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-nu sunt necesare expropieri de teren sau demolări</w:t>
          </w:r>
          <w:r w:rsidR="00461029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B7507B" w:rsidRDefault="00864FDE" w:rsidP="00864FDE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="0046102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alternativa constructivă aleasă: sens de circulaţie- 1; lăţime parte carosabilă- 4 m; lăţime acostamente- 2 x 0,50m; lăţime platformă- 4,00m; panta transversală a carosabilului- </w:t>
          </w:r>
          <w:r w:rsidR="00461029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2,5 %; panta transversală a acostamentului- 4%; podeţe tubulare- 9 buc.; podeţ casetat nou- 1 buc.; platforme de întâlnire- 44 buc.; clasa tehnică- V (drumuri cu trafic de intensitate foarte redusă)</w:t>
          </w:r>
        </w:p>
        <w:p w:rsidR="00AC27DF" w:rsidRDefault="00AC27DF" w:rsidP="00864FDE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-structura rutieră a doptată: 10 cm macadam semipenetrat cu bitum cf SR 179; 12 cm strat superior de fundaţie din piatră spartă mare sort 63-90; 20 cm strat inferior de fundaţie din balast sort 0-63;</w:t>
          </w:r>
        </w:p>
        <w:p w:rsidR="00AC27DF" w:rsidRDefault="00AC27DF" w:rsidP="00864FDE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-structura acostamentelor: strat de balast de 10 cm;</w:t>
          </w:r>
        </w:p>
        <w:p w:rsidR="00864FDE" w:rsidRPr="00F758DF" w:rsidRDefault="00AC27DF" w:rsidP="00864FDE">
          <w:pPr>
            <w:spacing w:after="0" w:line="300" w:lineRule="atLeast"/>
            <w:ind w:firstLine="720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-drumurile laterale, pe o lungime de 10 m de la intersecţie vor avea structura: fundaţii de balast de 20 cm; strat de piatră spartă îmănată de 12 cm;</w:t>
          </w:r>
          <w:r w:rsidR="00864FDE"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c)utilizarea resurselor naturale: nu se folosesc resurse naturale din zona lucrărilor; </w:t>
          </w:r>
        </w:p>
        <w:p w:rsidR="00864FDE" w:rsidRPr="00F758DF" w:rsidRDefault="00864FDE" w:rsidP="00864FDE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F758DF">
            <w:rPr>
              <w:rFonts w:cs="Arial"/>
              <w:lang w:val="ro-RO"/>
            </w:rPr>
            <w:t>d)producţia de deşeuri: în timpul lucrărilor se vor genera deşeuri din construcţie</w:t>
          </w:r>
          <w:r>
            <w:rPr>
              <w:rFonts w:cs="Arial"/>
              <w:lang w:val="ro-RO"/>
            </w:rPr>
            <w:t>:</w:t>
          </w:r>
          <w:r w:rsidRPr="00F758DF">
            <w:rPr>
              <w:rFonts w:cs="Arial"/>
              <w:lang w:val="ro-RO"/>
            </w:rPr>
            <w:t xml:space="preserve">  pământ excavat, piatră; beton; amestec de materiale de construcţie); lemn; resturi vegetale;  deşeuri menajere;  </w:t>
          </w:r>
        </w:p>
        <w:p w:rsidR="00864FDE" w:rsidRPr="00F758DF" w:rsidRDefault="00864FDE" w:rsidP="00864FDE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F758DF">
            <w:rPr>
              <w:rFonts w:cs="Arial"/>
              <w:lang w:val="ro-RO"/>
            </w:rPr>
            <w:t xml:space="preserve">e)riscul de accident: este scazut datorită tehnologiilor utilizate; se va respecta </w:t>
          </w:r>
          <w:r w:rsidRPr="00F758DF">
            <w:rPr>
              <w:rFonts w:cs="Arial"/>
              <w:bCs/>
              <w:lang w:val="ro-RO"/>
            </w:rPr>
            <w:t xml:space="preserve">regimul de depozitare, manipulare şi utilizare a </w:t>
          </w:r>
          <w:r>
            <w:rPr>
              <w:rFonts w:cs="Arial"/>
              <w:bCs/>
              <w:lang w:val="ro-RO"/>
            </w:rPr>
            <w:t xml:space="preserve">materialelor, a </w:t>
          </w:r>
          <w:r w:rsidRPr="00F758DF">
            <w:rPr>
              <w:rFonts w:cs="Arial"/>
              <w:bCs/>
              <w:lang w:val="ro-RO"/>
            </w:rPr>
            <w:t xml:space="preserve">combustibililor şi lubrefianţilor; </w:t>
          </w:r>
          <w:r w:rsidRPr="00F758DF">
            <w:rPr>
              <w:rFonts w:cs="Arial"/>
              <w:lang w:val="ro-RO"/>
            </w:rPr>
            <w:t>prin grija constructorului lucrărilor, se va întocmi un Plan de prevenire şi combatere a potenţialelor accidente</w:t>
          </w:r>
          <w:r w:rsidRPr="00F758DF">
            <w:rPr>
              <w:rFonts w:cs="Arial"/>
              <w:bCs/>
              <w:lang w:val="ro-RO"/>
            </w:rPr>
            <w:t>, a situaţiilor de risc sau a altor situaţii neprevăzute în faza de construcţie;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19796F">
            <w:rPr>
              <w:rFonts w:ascii="Garamond" w:hAnsi="Garamond"/>
              <w:color w:val="000000"/>
              <w:sz w:val="28"/>
              <w:szCs w:val="28"/>
            </w:rPr>
            <w:t xml:space="preserve">          </w:t>
          </w:r>
          <w:r w:rsidRPr="00F758DF">
            <w:rPr>
              <w:rFonts w:ascii="Arial" w:hAnsi="Arial" w:cs="Arial"/>
              <w:color w:val="000000"/>
            </w:rPr>
            <w:t xml:space="preserve">f)relativa abundenţă a resurselor naturale din zonă, calitatea şi capacitatea regenerativă a acestora: se vor folosi materialele de construcţie aprovizionate de la balastiere, staţiile de betoane, mixturi astfaltice, după caz, autorizate; 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ind w:firstLine="720"/>
            <w:jc w:val="both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g)capacitatea de absorbţie a mediului: realizarea proiectului se încadrează în programul de dezvoltare a infrastructurii din comuna </w:t>
          </w:r>
          <w:r w:rsidR="006555BE">
            <w:rPr>
              <w:rFonts w:ascii="Arial" w:hAnsi="Arial" w:cs="Arial"/>
              <w:color w:val="000000"/>
            </w:rPr>
            <w:t>Balta</w:t>
          </w:r>
          <w:r w:rsidRPr="00F758DF">
            <w:rPr>
              <w:rFonts w:ascii="Arial" w:hAnsi="Arial" w:cs="Arial"/>
              <w:color w:val="000000"/>
            </w:rPr>
            <w:t xml:space="preserve">; lucrările se încadrează în cadrul natural fără a agresa sau afecta organizarea existentă a teritoriului; prin realizarea investiţiei se vor elimina fenomenele de inundaţii şi de destabilizare a terasamentelor; </w:t>
          </w:r>
        </w:p>
        <w:p w:rsidR="00864FDE" w:rsidRPr="00F758DF" w:rsidRDefault="00864FDE" w:rsidP="00864FDE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sz w:val="24"/>
              <w:szCs w:val="24"/>
              <w:lang w:val="ro-RO"/>
            </w:rPr>
            <w:t xml:space="preserve">h)zonele de protecţie specială: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comuna 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>Balta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face parte din Parcul Natural 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>Geoparcul Platoul Mehedinţi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a fost obţinut Avizul 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 xml:space="preserve">Direcţiei </w:t>
          </w:r>
          <w:r>
            <w:rPr>
              <w:rFonts w:ascii="Arial" w:hAnsi="Arial" w:cs="Arial"/>
              <w:sz w:val="24"/>
              <w:szCs w:val="24"/>
              <w:lang w:val="ro-RO"/>
            </w:rPr>
            <w:t>Administra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>rea Geoparcului Platoul Mehedinţi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nr.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>478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EA2327">
            <w:rPr>
              <w:rFonts w:ascii="Arial" w:hAnsi="Arial" w:cs="Arial"/>
              <w:sz w:val="24"/>
              <w:szCs w:val="24"/>
              <w:lang w:val="ro-RO"/>
            </w:rPr>
            <w:t>03.07.2015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               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>i)ariile în care standardele de calitate a mediului stabilite de legislaţia în vigoare au fost deja depăşite: nu este cazul;</w:t>
          </w:r>
        </w:p>
        <w:p w:rsidR="00864FDE" w:rsidRPr="00F758DF" w:rsidRDefault="00864FDE" w:rsidP="00864FDE">
          <w:pPr>
            <w:pStyle w:val="NormalWeb"/>
            <w:tabs>
              <w:tab w:val="right" w:pos="9974"/>
            </w:tabs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>j)ariile dens populate: nu este cazul;</w:t>
          </w:r>
          <w:r>
            <w:rPr>
              <w:rFonts w:ascii="Arial" w:hAnsi="Arial" w:cs="Arial"/>
              <w:color w:val="000000"/>
            </w:rPr>
            <w:tab/>
          </w:r>
        </w:p>
        <w:p w:rsidR="00864FDE" w:rsidRPr="00EA2327" w:rsidRDefault="00864FDE" w:rsidP="00864FDE">
          <w:pPr>
            <w:pStyle w:val="NormalWeb"/>
            <w:spacing w:before="0" w:beforeAutospacing="0" w:after="0" w:afterAutospacing="0"/>
            <w:ind w:firstLine="720"/>
            <w:jc w:val="both"/>
            <w:rPr>
              <w:rFonts w:ascii="Arial" w:hAnsi="Arial" w:cs="Arial"/>
              <w:color w:val="FF0000"/>
            </w:rPr>
          </w:pPr>
          <w:r w:rsidRPr="00F758DF">
            <w:rPr>
              <w:rFonts w:ascii="Arial" w:hAnsi="Arial" w:cs="Arial"/>
              <w:color w:val="000000"/>
            </w:rPr>
            <w:t xml:space="preserve">k)peisajele cu semnificaţie istorică, culturală şi arheologică: </w:t>
          </w:r>
          <w:r w:rsidRPr="00EA2327">
            <w:rPr>
              <w:rFonts w:ascii="Arial" w:hAnsi="Arial" w:cs="Arial"/>
              <w:color w:val="FF0000"/>
            </w:rPr>
            <w:t xml:space="preserve">nu este cazul; în zona lucrărilor nu sunt obiective de patrimoniu sau situri arheologice; 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ind w:firstLine="72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l)extinderea impactului: local, numai în zona de lucru, pe perioada de execuţie; 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          </w:t>
          </w:r>
          <w:r w:rsidR="00EA2327">
            <w:rPr>
              <w:rFonts w:ascii="Arial" w:hAnsi="Arial" w:cs="Arial"/>
              <w:color w:val="000000"/>
            </w:rPr>
            <w:t xml:space="preserve"> </w:t>
          </w:r>
          <w:r w:rsidRPr="00F758DF">
            <w:rPr>
              <w:rFonts w:ascii="Arial" w:hAnsi="Arial" w:cs="Arial"/>
              <w:color w:val="000000"/>
            </w:rPr>
            <w:t>m)natura transfrontieră a impactului: nu este cazul</w:t>
          </w:r>
        </w:p>
        <w:p w:rsidR="00864FDE" w:rsidRPr="00F758DF" w:rsidRDefault="00864FDE" w:rsidP="00864FDE">
          <w:pPr>
            <w:pStyle w:val="NormalWeb"/>
            <w:spacing w:before="0" w:beforeAutospacing="0" w:after="0" w:afterAutospacing="0" w:line="312" w:lineRule="atLeast"/>
            <w:rPr>
              <w:rFonts w:ascii="Arial" w:hAnsi="Arial" w:cs="Arial"/>
              <w:color w:val="000000"/>
            </w:rPr>
          </w:pPr>
          <w:r w:rsidRPr="00F758DF">
            <w:rPr>
              <w:rFonts w:ascii="Arial" w:hAnsi="Arial" w:cs="Arial"/>
              <w:color w:val="000000"/>
            </w:rPr>
            <w:t xml:space="preserve">          </w:t>
          </w:r>
          <w:r w:rsidR="00EA2327">
            <w:rPr>
              <w:rFonts w:ascii="Arial" w:hAnsi="Arial" w:cs="Arial"/>
              <w:color w:val="000000"/>
            </w:rPr>
            <w:t xml:space="preserve"> </w:t>
          </w:r>
          <w:r w:rsidRPr="00F758DF">
            <w:rPr>
              <w:rFonts w:ascii="Arial" w:hAnsi="Arial" w:cs="Arial"/>
              <w:color w:val="000000"/>
            </w:rPr>
            <w:t>n)mărimea şi complexitatea impactului: impact redus</w:t>
          </w:r>
        </w:p>
        <w:p w:rsidR="00864FDE" w:rsidRPr="00F758DF" w:rsidRDefault="00864FDE" w:rsidP="00864FDE">
          <w:pPr>
            <w:spacing w:after="0" w:line="300" w:lineRule="atLeast"/>
            <w:jc w:val="both"/>
            <w:textAlignment w:val="baseline"/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 </w:t>
          </w:r>
          <w:r w:rsidR="00EA232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o)probabilitatea impactului: redus, local, datorat lucrărilor de construcţie şi după caz, a celor de rea</w:t>
          </w:r>
          <w:r w:rsidR="00EA2327">
            <w:rPr>
              <w:rFonts w:ascii="Arial" w:hAnsi="Arial" w:cs="Arial"/>
              <w:color w:val="000000"/>
              <w:sz w:val="24"/>
              <w:szCs w:val="24"/>
              <w:lang w:val="ro-RO"/>
            </w:rPr>
            <w:t>lizare a organizării de şantier</w:t>
          </w: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864FDE" w:rsidRPr="00F758DF" w:rsidRDefault="00864FDE" w:rsidP="00864FDE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 </w:t>
          </w:r>
          <w:r w:rsidR="00EA2327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</w:t>
          </w:r>
          <w:r w:rsidRPr="00F758DF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p)durata, frecvenţa şi reversibilitatea impactului: redusă.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</w:p>
        <w:p w:rsidR="00753675" w:rsidRPr="00522DB9" w:rsidRDefault="008D09C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A52708">
            <w:rPr>
              <w:rFonts w:ascii="Arial" w:hAnsi="Arial" w:cs="Arial"/>
              <w:sz w:val="24"/>
              <w:szCs w:val="24"/>
            </w:rPr>
            <w:t xml:space="preserve">       </w:t>
          </w:r>
          <w:r w:rsidRPr="00A52708">
            <w:rPr>
              <w:rFonts w:ascii="Arial" w:hAnsi="Arial" w:cs="Arial"/>
              <w:b/>
              <w:sz w:val="24"/>
              <w:szCs w:val="24"/>
            </w:rPr>
            <w:t>II.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864FDE">
            <w:rPr>
              <w:rFonts w:ascii="Arial" w:hAnsi="Arial" w:cs="Arial"/>
              <w:b/>
              <w:sz w:val="24"/>
              <w:szCs w:val="24"/>
            </w:rPr>
            <w:t>Motivele care au stat la baza luării deciziei etapei de încadra</w:t>
          </w:r>
          <w:r w:rsidRPr="00864FDE">
            <w:rPr>
              <w:rFonts w:ascii="Arial" w:hAnsi="Arial" w:cs="Arial"/>
              <w:b/>
              <w:sz w:val="24"/>
              <w:szCs w:val="24"/>
            </w:rPr>
            <w:t>re în procedura de evaluare adecvată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  <w:r w:rsidR="00A52708">
            <w:rPr>
              <w:rFonts w:ascii="Arial" w:hAnsi="Arial" w:cs="Arial"/>
              <w:sz w:val="24"/>
              <w:szCs w:val="24"/>
            </w:rPr>
            <w:t>nu este cazul</w:t>
          </w:r>
        </w:p>
        <w:p w:rsidR="00EA2AD9" w:rsidRDefault="00A5270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8D09CB" w:rsidRPr="00A52708">
            <w:rPr>
              <w:rFonts w:ascii="Arial" w:hAnsi="Arial" w:cs="Arial"/>
              <w:b/>
              <w:sz w:val="24"/>
              <w:szCs w:val="24"/>
            </w:rPr>
            <w:t>Condiţiile de realizare a proiectului</w:t>
          </w:r>
          <w:r w:rsidR="008D09CB"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52708" w:rsidRPr="00DD78A9" w:rsidRDefault="00A52708" w:rsidP="00A52708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Garamond" w:hAnsi="Garamond"/>
              <w:sz w:val="28"/>
              <w:szCs w:val="28"/>
              <w:lang w:val="ro-RO"/>
            </w:rPr>
            <w:t xml:space="preserve">        </w:t>
          </w:r>
          <w:r w:rsidRPr="00DD78A9"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A52708" w:rsidRPr="00DD78A9" w:rsidRDefault="00A52708" w:rsidP="00A52708">
          <w:pPr>
            <w:spacing w:after="0"/>
            <w:ind w:firstLine="720"/>
            <w:jc w:val="both"/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</w:pPr>
          <w:r w:rsidRPr="00DD78A9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D78A9">
            <w:rPr>
              <w:rFonts w:ascii="Arial" w:hAnsi="Arial" w:cs="Arial"/>
              <w:color w:val="333333"/>
              <w:sz w:val="24"/>
              <w:szCs w:val="24"/>
              <w:lang w:val="ro-RO"/>
            </w:rPr>
            <w:t xml:space="preserve">◦ </w:t>
          </w:r>
          <w:r w:rsidRPr="00DD78A9">
            <w:rPr>
              <w:rFonts w:ascii="Arial" w:hAnsi="Arial" w:cs="Arial"/>
              <w:bCs/>
              <w:sz w:val="24"/>
              <w:szCs w:val="24"/>
              <w:u w:val="single"/>
              <w:lang w:val="ro-RO"/>
            </w:rPr>
            <w:t xml:space="preserve">factor de mediu </w:t>
          </w:r>
          <w:r w:rsidRPr="00DD78A9"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ap</w:t>
          </w:r>
          <w:r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ă</w:t>
          </w:r>
          <w:r w:rsidRPr="00DD78A9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  <w:r w:rsidRPr="00DD78A9"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</w:p>
        <w:p w:rsidR="00A52708" w:rsidRPr="00DD78A9" w:rsidRDefault="00A52708" w:rsidP="00A52708">
          <w:pPr>
            <w:pStyle w:val="Corptext"/>
            <w:jc w:val="both"/>
            <w:rPr>
              <w:rFonts w:cs="Arial"/>
              <w:bCs/>
              <w:lang w:val="ro-RO"/>
            </w:rPr>
          </w:pPr>
          <w:r>
            <w:rPr>
              <w:rFonts w:cs="Arial"/>
              <w:bCs/>
              <w:lang w:val="ro-RO"/>
            </w:rPr>
            <w:t xml:space="preserve">        </w:t>
          </w:r>
          <w:r w:rsidRPr="00DD78A9">
            <w:rPr>
              <w:rFonts w:cs="Arial"/>
              <w:bCs/>
              <w:lang w:val="ro-RO"/>
            </w:rPr>
            <w:t xml:space="preserve">-se va asigura gospodărirea corectă a materiilor prime şi a materialelor necesare lucrărilor, precum şi a deşeurilor rezultate; depozitarea acestora se va face în locuri amenajate (platforme de depozitare), prevăzute cu şanţuri perimetrale de gardă; este interzisă depozitarea pe malul sau în albiile oricărei văi, viroagă, curs intermitent de apă; </w:t>
          </w:r>
        </w:p>
        <w:p w:rsidR="00A52708" w:rsidRPr="00DD78A9" w:rsidRDefault="00A52708" w:rsidP="00A52708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sz w:val="28"/>
              <w:szCs w:val="28"/>
              <w:lang w:val="ro-RO"/>
            </w:rPr>
            <w:lastRenderedPageBreak/>
            <w:t xml:space="preserve">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aer</w:t>
          </w:r>
          <w:r w:rsidRPr="00DD78A9">
            <w:rPr>
              <w:rFonts w:cs="Arial"/>
              <w:bCs/>
              <w:lang w:val="ro-RO"/>
            </w:rPr>
            <w:t xml:space="preserve">: </w:t>
          </w:r>
        </w:p>
        <w:p w:rsidR="00A52708" w:rsidRDefault="00A52708" w:rsidP="00A52708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A52708" w:rsidRPr="00DD78A9" w:rsidRDefault="00A52708" w:rsidP="00A52708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-alimentarea cu carburanţi a utilajelor şi mijloacelor de transport se va face în cadrul staţiilor de distribuţie carburanţi, sau după caz, pe platformă amenajată în acest scop;</w:t>
          </w:r>
        </w:p>
        <w:p w:rsidR="00A52708" w:rsidRPr="00DD78A9" w:rsidRDefault="00A52708" w:rsidP="00A52708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ab/>
            <w:t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</w:t>
          </w: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</w:t>
          </w:r>
          <w:r w:rsidRPr="00DD78A9">
            <w:rPr>
              <w:rFonts w:cs="Arial"/>
              <w:bCs/>
              <w:lang w:val="ro-RO"/>
            </w:rPr>
            <w:t xml:space="preserve">respective vor fi depozitate în interiorul unei zone delimitate astfel încât să nu constituie sursă de poluare prin </w:t>
          </w:r>
          <w:r w:rsidRPr="00DD78A9">
            <w:rPr>
              <w:rStyle w:val="stlitera"/>
              <w:rFonts w:cs="Arial"/>
            </w:rPr>
            <w:t>particule care pot fi antrenate către obiectivele învecinate;</w:t>
          </w:r>
        </w:p>
        <w:p w:rsidR="00A52708" w:rsidRPr="00DD78A9" w:rsidRDefault="00A52708" w:rsidP="00A52708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ab/>
          </w:r>
          <w:r w:rsidRPr="00DD78A9">
            <w:rPr>
              <w:rFonts w:cs="Arial"/>
              <w:bCs/>
              <w:lang w:val="ro-RO"/>
            </w:rPr>
            <w:t xml:space="preserve">-mijloacele de transport încărcate cu materiale ce pot genera pulberi (praf), vor fi acoperite; </w:t>
          </w:r>
        </w:p>
        <w:p w:rsidR="00A52708" w:rsidRPr="00DD78A9" w:rsidRDefault="00A52708" w:rsidP="00A52708">
          <w:pPr>
            <w:pStyle w:val="Corptext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    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bCs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sol</w:t>
          </w:r>
          <w:r w:rsidRPr="00DD78A9">
            <w:rPr>
              <w:rFonts w:cs="Arial"/>
              <w:bCs/>
              <w:lang w:val="ro-RO"/>
            </w:rPr>
            <w:t> :</w:t>
          </w:r>
        </w:p>
        <w:p w:rsidR="00A52708" w:rsidRPr="00DD78A9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-în situaţia în care este necesar să se ocupe temporar anumite suprafeţe de teren, acestea vor fi cât mai reduse posibil; </w:t>
          </w:r>
        </w:p>
        <w:p w:rsidR="00A52708" w:rsidRPr="00DD78A9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>-nu se vor executa operaţii de alimentare cu carburanţi a utilajelor şi mijloacelor de transport, de spălare, revizie şi reparaţii la locul lucrărilor; pentru cazurile speciale, în care  se impun lucrări mici de intervenţie, ele se vor desfăşura pe o platformă amenajată în acest scop, evitând scurgerile accidentale de produse petroliere; se va asigura dotarea cu materiale absorbante pentru intervenţie în astfel de situaţii;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i/>
              <w:lang w:val="ro-RO"/>
            </w:rPr>
          </w:pPr>
          <w:r w:rsidRPr="00464243">
            <w:rPr>
              <w:rFonts w:ascii="Garamond" w:hAnsi="Garamond"/>
              <w:bCs/>
              <w:i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bCs/>
              <w:i/>
              <w:u w:val="single"/>
              <w:lang w:val="ro-RO"/>
            </w:rPr>
            <w:t>gospodărirea deşeurilor şi a preparatelor periculoase</w:t>
          </w:r>
          <w:r w:rsidRPr="00064E8C">
            <w:rPr>
              <w:rFonts w:cs="Arial"/>
              <w:bCs/>
              <w:i/>
              <w:lang w:val="ro-RO"/>
            </w:rPr>
            <w:t>: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vegetale; deseuri menajere;  </w:t>
          </w:r>
        </w:p>
        <w:p w:rsidR="00A52708" w:rsidRPr="00064E8C" w:rsidRDefault="00A52708" w:rsidP="00A52708">
          <w:pPr>
            <w:pStyle w:val="Corptext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ab/>
            <w:t xml:space="preserve">-toate tipurile de deşeuri  vor fi colectate şi  stocate temporar, pe tipuri de deşeuri, într-o zonă amenajată;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lang w:val="ro-RO"/>
            </w:rPr>
            <w:t>-</w:t>
          </w:r>
          <w:r w:rsidRPr="00064E8C"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valorificare/recuperare;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-deşeurile menajere vor fi colectate în recipienţi şi vor fi transportate, de către societatea de salubrizare autorizată care operează în zonă;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interzice depozitarea necontrolată a oricarui tip de deşeu la locul lucrărilor, pe sol sau în apă, </w:t>
          </w:r>
          <w:r>
            <w:rPr>
              <w:rFonts w:cs="Arial"/>
              <w:bCs/>
              <w:lang w:val="ro-RO"/>
            </w:rPr>
            <w:t>precum şi de-alungul drumurilor</w:t>
          </w:r>
          <w:r w:rsidRPr="00064E8C">
            <w:rPr>
              <w:rFonts w:cs="Arial"/>
              <w:bCs/>
              <w:lang w:val="ro-RO"/>
            </w:rPr>
            <w:t>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>◦</w:t>
          </w:r>
          <w:r w:rsidRPr="00064E8C">
            <w:rPr>
              <w:rFonts w:cs="Arial"/>
              <w:bCs/>
              <w:i/>
              <w:lang w:val="ro-RO"/>
            </w:rPr>
            <w:t xml:space="preserve"> </w:t>
          </w:r>
          <w:r w:rsidRPr="00064E8C">
            <w:rPr>
              <w:rFonts w:cs="Arial"/>
              <w:bCs/>
              <w:i/>
              <w:u w:val="single"/>
              <w:lang w:val="ro-RO"/>
            </w:rPr>
            <w:t>populaţie, sănătate, zgomot,  vibraţii, peisaj</w:t>
          </w:r>
          <w:r w:rsidRPr="00064E8C">
            <w:rPr>
              <w:rFonts w:cs="Arial"/>
              <w:bCs/>
              <w:lang w:val="ro-RO"/>
            </w:rPr>
            <w:t>: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-menţinerea în stare bună de funcţionare a utilajelor şi a mijloacelor de transport, cu respectarea normelor privind lubrefierea şi întreţinerea angrenajelor;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-semnalizarea corespunzatoare a lucrărilor şi dirijarea traficului în zonă;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-asigurarea de drumuri temporare de acces către</w:t>
          </w:r>
          <w:r>
            <w:rPr>
              <w:rFonts w:cs="Arial"/>
              <w:bCs/>
              <w:lang w:val="ro-RO"/>
            </w:rPr>
            <w:t xml:space="preserve"> locuinţe,</w:t>
          </w:r>
          <w:r w:rsidRPr="00064E8C">
            <w:rPr>
              <w:rFonts w:cs="Arial"/>
              <w:bCs/>
              <w:lang w:val="ro-RO"/>
            </w:rPr>
            <w:t xml:space="preserve"> terenurile agricole sau alte destinaţii;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-reducerea vitezei la 30 km/h pentru traficul greu prin localităţi;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A52708" w:rsidRPr="00064E8C" w:rsidRDefault="00A52708" w:rsidP="00A52708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bCs/>
              <w:sz w:val="28"/>
              <w:szCs w:val="28"/>
              <w:lang w:val="ro-RO"/>
            </w:rPr>
            <w:t xml:space="preserve">      </w:t>
          </w:r>
          <w:r>
            <w:rPr>
              <w:bCs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i/>
              <w:u w:val="single"/>
              <w:lang w:val="ro-RO"/>
            </w:rPr>
            <w:t xml:space="preserve">prevederi privind (după caz) </w:t>
          </w:r>
          <w:r w:rsidRPr="00064E8C">
            <w:rPr>
              <w:rFonts w:cs="Arial"/>
              <w:bCs/>
              <w:i/>
              <w:u w:val="single"/>
              <w:lang w:val="ro-RO"/>
            </w:rPr>
            <w:t>organizarea de şantier sau amplasamentul destinat staţionării mijloacelor de transport şi utilajelor, precum şi depozitării materiilor prime, materialelor, deşeurilor</w:t>
          </w:r>
          <w:r w:rsidRPr="00064E8C">
            <w:rPr>
              <w:rFonts w:cs="Arial"/>
              <w:bCs/>
              <w:lang w:val="ro-RO"/>
            </w:rPr>
            <w:t>: constructorul lucrarilor are obligaţia amenajării acestor locaţii; amenajarea lor se va face astfel încât să se asigure următoarele condiţii :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-vor fi stabilite pe suprafeţe de teren cât mai restrânse posibil, fără a fi necesară defrişarea vegetaţiei în acest scop;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-nu trebuie sa fie situate în apropierea zonelor locuit, a cursurilor de apă sau a pădurilor, văilor;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lastRenderedPageBreak/>
            <w:t xml:space="preserve">-se recomandă ca aceste obiective să fi realizate doar cu amenajările strict necesare; 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-vor fi delimitate locurile de depozitare a materiilor prime, materialelor şi deşeurilor; de asemenea, va fi asigurată paza şi siguranţa utilajelor şi a maşinilor;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4F55C8">
            <w:rPr>
              <w:rFonts w:cs="Arial"/>
              <w:i/>
              <w:u w:val="single"/>
              <w:lang w:val="ro-RO"/>
            </w:rPr>
            <w:t>condiţii impuse  la terminarea lucrărilor</w:t>
          </w:r>
          <w:r w:rsidRPr="00064E8C">
            <w:rPr>
              <w:rFonts w:cs="Arial"/>
              <w:lang w:val="ro-RO"/>
            </w:rPr>
            <w:t> :</w:t>
          </w:r>
        </w:p>
        <w:p w:rsidR="00A52708" w:rsidRPr="00064E8C" w:rsidRDefault="00A52708" w:rsidP="00A52708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A52708" w:rsidRPr="00522DB9" w:rsidRDefault="00A52708" w:rsidP="000846D7">
          <w:pPr>
            <w:pStyle w:val="Corptext"/>
            <w:ind w:firstLine="720"/>
            <w:jc w:val="both"/>
            <w:rPr>
              <w:rFonts w:cs="Arial"/>
            </w:rPr>
          </w:pPr>
          <w:r w:rsidRPr="00064E8C"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 w:rsidRPr="00464243">
            <w:rPr>
              <w:color w:val="000000"/>
              <w:lang w:val="ro-RO"/>
            </w:rPr>
            <w:t xml:space="preserve">    </w:t>
          </w:r>
          <w:r w:rsidR="008D09CB" w:rsidRPr="00522DB9">
            <w:rPr>
              <w:rFonts w:cs="Arial"/>
            </w:rPr>
            <w:t xml:space="preserve">  </w:t>
          </w:r>
        </w:p>
        <w:p w:rsidR="00522DB9" w:rsidRPr="00522DB9" w:rsidRDefault="008D09C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846D7" w:rsidRDefault="008D09C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0846D7">
            <w:rPr>
              <w:rFonts w:ascii="Arial" w:hAnsi="Arial" w:cs="Arial"/>
              <w:sz w:val="24"/>
              <w:szCs w:val="24"/>
            </w:rPr>
            <w:t xml:space="preserve">      </w:t>
          </w:r>
          <w:r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</w:t>
          </w:r>
          <w:r w:rsidR="000846D7">
            <w:rPr>
              <w:rFonts w:ascii="Arial" w:hAnsi="Arial" w:cs="Arial"/>
              <w:sz w:val="24"/>
              <w:szCs w:val="24"/>
            </w:rPr>
            <w:t>.</w:t>
          </w:r>
        </w:p>
        <w:p w:rsidR="000846D7" w:rsidRDefault="000846D7" w:rsidP="000846D7">
          <w:pPr>
            <w:pStyle w:val="NormalWeb"/>
            <w:spacing w:after="0"/>
            <w:ind w:firstLine="720"/>
            <w:rPr>
              <w:rFonts w:ascii="Arial" w:hAnsi="Arial" w:cs="Arial"/>
              <w:color w:val="000000"/>
            </w:rPr>
          </w:pPr>
          <w:r w:rsidRPr="00931BF7">
            <w:rPr>
              <w:rFonts w:ascii="Arial" w:hAnsi="Arial" w:cs="Arial"/>
              <w:color w:val="000000"/>
            </w:rPr>
            <w:t>Nu s-au primit observaţii şi comentarii din partea publicului</w:t>
          </w:r>
          <w:r>
            <w:rPr>
              <w:rFonts w:ascii="Arial" w:hAnsi="Arial" w:cs="Arial"/>
              <w:color w:val="000000"/>
            </w:rPr>
            <w:t>.</w:t>
          </w:r>
        </w:p>
        <w:p w:rsidR="000846D7" w:rsidRDefault="000846D7" w:rsidP="000846D7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       </w:t>
          </w:r>
        </w:p>
        <w:p w:rsidR="000846D7" w:rsidRPr="00785D2B" w:rsidRDefault="000846D7" w:rsidP="000846D7">
          <w:pPr>
            <w:spacing w:after="0" w:line="300" w:lineRule="atLeast"/>
            <w:ind w:firstLine="187"/>
            <w:jc w:val="both"/>
            <w:textAlignment w:val="baseline"/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       Menţiuni</w:t>
          </w:r>
          <w:r w:rsidRPr="00785D2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>:</w:t>
          </w:r>
        </w:p>
        <w:p w:rsidR="000846D7" w:rsidRPr="00785D2B" w:rsidRDefault="000846D7" w:rsidP="000846D7">
          <w:pPr>
            <w:spacing w:after="0" w:line="300" w:lineRule="atLeast"/>
            <w:ind w:firstLine="187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  </w:t>
          </w:r>
          <w:r w:rsidRPr="00785D2B">
            <w:rPr>
              <w:rFonts w:ascii="Arial" w:hAnsi="Arial" w:cs="Arial"/>
              <w:sz w:val="24"/>
              <w:szCs w:val="24"/>
              <w:lang w:val="ro-RO"/>
            </w:rPr>
            <w:t>1.În condiţiile în care proiectul nu suferă modificări sau extinderi, Decizia etapei de încadrare îşi păstrează valabilitatea pe toată perioada punerii în aplicare a acestuia.</w:t>
          </w:r>
        </w:p>
        <w:p w:rsidR="000846D7" w:rsidRPr="00785D2B" w:rsidRDefault="000846D7" w:rsidP="000846D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           2.Titularul va notifica în scris A.P.M. Mehedinţi în următoarele cazuri:</w:t>
          </w:r>
        </w:p>
        <w:p w:rsidR="000846D7" w:rsidRPr="00785D2B" w:rsidRDefault="000846D7" w:rsidP="000846D7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Pr="00785D2B">
            <w:rPr>
              <w:rStyle w:val="sttlitera"/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785D2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situaţia în care, după emiterea prezentului act, proiectul a suferit modificări sau extinderi;</w:t>
          </w:r>
        </w:p>
        <w:p w:rsidR="000846D7" w:rsidRPr="00785D2B" w:rsidRDefault="000846D7" w:rsidP="000846D7">
          <w:pPr>
            <w:tabs>
              <w:tab w:val="left" w:pos="2535"/>
            </w:tabs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-la finalizarea proiectului, pentru verificarea respectării prevederilor din prezentul act  </w:t>
          </w:r>
        </w:p>
        <w:p w:rsidR="000846D7" w:rsidRPr="00785D2B" w:rsidRDefault="000846D7" w:rsidP="000846D7">
          <w:pPr>
            <w:tabs>
              <w:tab w:val="left" w:pos="2535"/>
            </w:tabs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          </w:t>
          </w:r>
          <w:r w:rsidR="0030177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85D2B">
            <w:rPr>
              <w:rFonts w:ascii="Arial" w:hAnsi="Arial" w:cs="Arial"/>
              <w:sz w:val="24"/>
              <w:szCs w:val="24"/>
              <w:lang w:val="ro-RO"/>
            </w:rPr>
            <w:t>3.Revizuirea deciziei etapei de încadrare este obligatorie în toate situaţiile în care:</w:t>
          </w:r>
        </w:p>
        <w:p w:rsidR="000846D7" w:rsidRPr="00785D2B" w:rsidRDefault="000846D7" w:rsidP="000846D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-apar elemente noi cu impact asupra mediului, necunoscute la data emiterii ei;</w:t>
          </w:r>
        </w:p>
        <w:p w:rsidR="000846D7" w:rsidRPr="00785D2B" w:rsidRDefault="000846D7" w:rsidP="000846D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>-prevederile unor noi reglementări legale o impun;</w:t>
          </w:r>
        </w:p>
        <w:p w:rsidR="000846D7" w:rsidRPr="00785D2B" w:rsidRDefault="000846D7" w:rsidP="000846D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85D2B">
            <w:rPr>
              <w:rFonts w:ascii="Arial" w:hAnsi="Arial" w:cs="Arial"/>
              <w:sz w:val="24"/>
              <w:szCs w:val="24"/>
              <w:lang w:val="ro-RO"/>
            </w:rPr>
            <w:t xml:space="preserve">-s-a luat decizia respectivă, în urma analizării notificării depuse de titular </w:t>
          </w:r>
        </w:p>
        <w:p w:rsidR="000846D7" w:rsidRDefault="000846D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8D09C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595382" w:rsidRPr="00447422" w:rsidRDefault="008D09C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D09C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D09C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30177D" w:rsidRPr="004963D3" w:rsidRDefault="008D09CB" w:rsidP="0030177D">
          <w:pPr>
            <w:spacing w:after="0" w:line="24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47422" w:rsidRPr="004963D3" w:rsidRDefault="008D09CB" w:rsidP="0030177D">
          <w:pPr>
            <w:spacing w:after="0" w:line="24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  <w:p w:rsidR="00806542" w:rsidRPr="004963D3" w:rsidRDefault="0030177D" w:rsidP="0030177D">
          <w:pPr>
            <w:spacing w:after="0" w:line="24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p.</w:t>
          </w:r>
          <w:r w:rsidR="008D09CB"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D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irector</w:t>
          </w:r>
          <w:r w:rsidR="008D09CB"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Executiv,</w:t>
          </w:r>
        </w:p>
        <w:p w:rsidR="0030177D" w:rsidRPr="004963D3" w:rsidRDefault="0030177D" w:rsidP="0030177D">
          <w:pPr>
            <w:spacing w:after="0" w:line="24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ing.Dragoş Nicolae TARNIŢĂ</w:t>
          </w:r>
        </w:p>
        <w:p w:rsidR="00547DA5" w:rsidRPr="004963D3" w:rsidRDefault="008D09CB" w:rsidP="0030177D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547DA5" w:rsidRPr="004963D3" w:rsidRDefault="008D09CB" w:rsidP="003017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902CE" w:rsidRPr="004963D3" w:rsidRDefault="008D09CB" w:rsidP="003017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30177D"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p.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Şef serviciu </w:t>
          </w:r>
          <w:r w:rsidR="0030177D"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A.A.A.,</w:t>
          </w:r>
        </w:p>
        <w:p w:rsidR="0030177D" w:rsidRPr="004963D3" w:rsidRDefault="0030177D" w:rsidP="003017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biol.Lavinia MATEESCU</w:t>
          </w:r>
        </w:p>
        <w:p w:rsidR="00864A55" w:rsidRPr="004963D3" w:rsidRDefault="008D09CB" w:rsidP="003017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0177D" w:rsidRPr="004963D3" w:rsidRDefault="0030177D" w:rsidP="0030177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0177D" w:rsidRPr="004963D3" w:rsidRDefault="008D09CB" w:rsidP="0030177D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Pr="004963D3" w:rsidRDefault="0030177D" w:rsidP="0030177D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963D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ing.Mariana LUDU</w:t>
          </w:r>
        </w:p>
      </w:sdtContent>
    </w:sdt>
    <w:p w:rsidR="00522DB9" w:rsidRPr="00447422" w:rsidRDefault="008D09C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D09C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D09C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D09C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D09C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D09C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D09C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09CB">
      <w:pPr>
        <w:spacing w:after="0" w:line="240" w:lineRule="auto"/>
      </w:pPr>
      <w:r>
        <w:separator/>
      </w:r>
    </w:p>
  </w:endnote>
  <w:endnote w:type="continuationSeparator" w:id="0">
    <w:p w:rsidR="00000000" w:rsidRDefault="008D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D09CB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8D09CB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08" w:rsidRDefault="00A52708" w:rsidP="00A52708">
        <w:pPr>
          <w:pStyle w:val="Subsol"/>
          <w:pBdr>
            <w:top w:val="single" w:sz="4" w:space="1" w:color="auto"/>
          </w:pBdr>
          <w:jc w:val="center"/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135465343"/>
        </w:sdtPr>
        <w:sdtEndPr>
          <w:rPr>
            <w:sz w:val="22"/>
            <w:szCs w:val="22"/>
          </w:rPr>
        </w:sdtEndPr>
        <w:sdtContent>
          <w:p w:rsidR="00A52708" w:rsidRDefault="00A52708" w:rsidP="00A52708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MEHEDINŢI</w:t>
            </w:r>
          </w:p>
          <w:p w:rsidR="00A52708" w:rsidRPr="007A4C64" w:rsidRDefault="00A52708" w:rsidP="00A52708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Băile Romane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Drobeta Turnu Severin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220234</w:t>
            </w:r>
          </w:p>
          <w:p w:rsidR="00A52708" w:rsidRDefault="00A52708" w:rsidP="00A52708">
            <w:pPr>
              <w:pStyle w:val="Antet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t>office apmmh.anpm.ro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Tel.0252-320396, Fax .0252-306018</w:t>
            </w:r>
          </w:p>
        </w:sdtContent>
      </w:sdt>
      <w:p w:rsidR="00992A14" w:rsidRPr="007A4C64" w:rsidRDefault="008D09CB" w:rsidP="00A52708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8D09CB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1271167"/>
        </w:sdtPr>
        <w:sdtEndPr>
          <w:rPr>
            <w:sz w:val="22"/>
            <w:szCs w:val="22"/>
          </w:rPr>
        </w:sdtEndPr>
        <w:sdtContent>
          <w:p w:rsidR="00864FDE" w:rsidRDefault="00864FDE" w:rsidP="00864FDE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MEHEDINŢI</w:t>
            </w:r>
          </w:p>
          <w:p w:rsidR="00864FDE" w:rsidRPr="007A4C64" w:rsidRDefault="00864FDE" w:rsidP="00864FDE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Băile Romane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Drobeta Turnu Severin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220234</w:t>
            </w:r>
          </w:p>
          <w:p w:rsidR="00864FDE" w:rsidRDefault="00864FDE" w:rsidP="00864FDE">
            <w:pPr>
              <w:pStyle w:val="Antet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t>office apmmh.anpm.ro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Tel.0252-320396, Fax .0252-306018</w:t>
            </w:r>
          </w:p>
        </w:sdtContent>
      </w:sdt>
      <w:p w:rsidR="00864FDE" w:rsidRDefault="00864FDE" w:rsidP="00864FDE">
        <w:pPr>
          <w:pStyle w:val="Subsol"/>
          <w:pBdr>
            <w:top w:val="single" w:sz="4" w:space="1" w:color="auto"/>
          </w:pBdr>
          <w:jc w:val="center"/>
        </w:pPr>
      </w:p>
      <w:p w:rsidR="00B72680" w:rsidRPr="00992A14" w:rsidRDefault="008D09CB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09CB">
      <w:pPr>
        <w:spacing w:after="0" w:line="240" w:lineRule="auto"/>
      </w:pPr>
      <w:r>
        <w:separator/>
      </w:r>
    </w:p>
  </w:footnote>
  <w:footnote w:type="continuationSeparator" w:id="0">
    <w:p w:rsidR="00000000" w:rsidRDefault="008D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8" w:rsidRDefault="00A5270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8" w:rsidRDefault="00A5270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D09CB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887343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8D09C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D09C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D09C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D09CB" w:rsidP="0077461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7461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MEHEDINŢI</w:t>
              </w:r>
            </w:sdtContent>
          </w:sdt>
        </w:p>
      </w:tc>
    </w:tr>
  </w:tbl>
  <w:p w:rsidR="00B72680" w:rsidRPr="0090788F" w:rsidRDefault="008D09C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36Q6XmG+q0dJsFrCaPYqZoIwy08=" w:salt="KoOYXJoluxbojFdrnXU1K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614"/>
    <w:rsid w:val="000846D7"/>
    <w:rsid w:val="00192364"/>
    <w:rsid w:val="0030177D"/>
    <w:rsid w:val="00461029"/>
    <w:rsid w:val="004963D3"/>
    <w:rsid w:val="006555BE"/>
    <w:rsid w:val="00774614"/>
    <w:rsid w:val="00817CE2"/>
    <w:rsid w:val="00864FDE"/>
    <w:rsid w:val="008D09CB"/>
    <w:rsid w:val="00A52708"/>
    <w:rsid w:val="00AC27DF"/>
    <w:rsid w:val="00B7507B"/>
    <w:rsid w:val="00CE3D24"/>
    <w:rsid w:val="00E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tpar">
    <w:name w:val="st_tpar"/>
    <w:basedOn w:val="Fontdeparagrafimplicit"/>
    <w:rsid w:val="00A52708"/>
  </w:style>
  <w:style w:type="character" w:customStyle="1" w:styleId="stlitera">
    <w:name w:val="st_litera"/>
    <w:basedOn w:val="Fontdeparagrafimplicit"/>
    <w:rsid w:val="00A52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tpar">
    <w:name w:val="st_tpar"/>
    <w:basedOn w:val="Fontdeparagrafimplicit"/>
    <w:rsid w:val="00A52708"/>
  </w:style>
  <w:style w:type="character" w:customStyle="1" w:styleId="stlitera">
    <w:name w:val="st_litera"/>
    <w:basedOn w:val="Fontdeparagrafimplicit"/>
    <w:rsid w:val="00A5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506fb191-ec24-4e26-8f29-3ea68d600013","Numar":null,"Data":null,"NumarActReglementareInitial":null,"DataActReglementareInitial":null,"DataInceput":null,"DataSfarsit":null,"Durata":null,"PunctLucruId":355449.0,"TipActId":4.0,"NumarCerere":null,"DataCerere":null,"NumarCerereScriptic":null,"DataCerereScriptic":null,"CodFiscal":null,"SordId":"(CD793402-ADE8-8937-FAA3-9ADC8ACDF1CB)","SablonSordId":"(8B66777B-56B9-65A9-2773-1FA4A6BC21FB)","DosarSordId":"3406751","LatitudineWgs84":null,"LongitudineWgs84":null,"LatitudineStereo70":null,"LongitudineStereo70":null,"NumarAutorizatieGospodarireApe":null,"DataAutorizatieGospodarireApe":null,"DurataAutorizatieGospodarireApe":null,"Aba":null,"Sga":null,"AdresaSediuSocial":"Str. Balta, Nr. fn, Balta,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F150818-FFEB-48E5-87BF-4138246B212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38FDC87-6FA8-4E3B-80E2-86B6215A1E3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2801406-4856-4100-812B-AEBE20EE7FF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D33DE41-AA42-4D2C-A468-AF8BF89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1746</Words>
  <Characters>10130</Characters>
  <Application>Microsoft Office Word</Application>
  <DocSecurity>8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11853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mh.mariana.ludu</cp:lastModifiedBy>
  <cp:revision>13</cp:revision>
  <cp:lastPrinted>2014-04-25T12:16:00Z</cp:lastPrinted>
  <dcterms:created xsi:type="dcterms:W3CDTF">2015-10-26T07:49:00Z</dcterms:created>
  <dcterms:modified xsi:type="dcterms:W3CDTF">2016-06-08T07:36:00Z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Balta</vt:lpwstr>
  </property>
  <property fmtid="{D5CDD505-2E9C-101B-9397-08002B2CF9AE}" pid="5" name="SordId">
    <vt:lpwstr>(CD793402-ADE8-8937-FAA3-9ADC8ACDF1CB)</vt:lpwstr>
  </property>
  <property fmtid="{D5CDD505-2E9C-101B-9397-08002B2CF9AE}" pid="6" name="VersiuneDocument">
    <vt:lpwstr>11</vt:lpwstr>
  </property>
  <property fmtid="{D5CDD505-2E9C-101B-9397-08002B2CF9AE}" pid="7" name="RuntimeGuid">
    <vt:lpwstr>e184431b-e8d8-48b8-978e-e1e6dceca575</vt:lpwstr>
  </property>
  <property fmtid="{D5CDD505-2E9C-101B-9397-08002B2CF9AE}" pid="8" name="PunctLucruId">
    <vt:lpwstr>355449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3406751</vt:lpwstr>
  </property>
  <property fmtid="{D5CDD505-2E9C-101B-9397-08002B2CF9AE}" pid="11" name="DosarCerereSordId">
    <vt:lpwstr>2583960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506fb191-ec24-4e26-8f29-3ea68d600013</vt:lpwstr>
  </property>
  <property fmtid="{D5CDD505-2E9C-101B-9397-08002B2CF9AE}" pid="16" name="CommitRoles">
    <vt:lpwstr>false</vt:lpwstr>
  </property>
</Properties>
</file>